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2D7" w:rsidRPr="0023233D" w:rsidRDefault="002642D7" w:rsidP="002642D7">
      <w:pPr>
        <w:jc w:val="both"/>
        <w:rPr>
          <w:rFonts w:ascii="Arial" w:hAnsi="Arial" w:cs="Arial"/>
          <w:sz w:val="22"/>
          <w:szCs w:val="22"/>
        </w:rPr>
      </w:pPr>
      <w:r w:rsidRPr="0023233D">
        <w:rPr>
          <w:rFonts w:ascii="Arial" w:hAnsi="Arial" w:cs="Arial"/>
          <w:sz w:val="22"/>
          <w:szCs w:val="22"/>
        </w:rPr>
        <w:t>Na podlagi Na podlagi 36., 37., 43., 52. in 54. člena zakona o javnih financah (</w:t>
      </w:r>
      <w:r w:rsidRPr="0023233D">
        <w:rPr>
          <w:rFonts w:ascii="Arial" w:hAnsi="Arial" w:cs="Arial"/>
          <w:color w:val="000000"/>
          <w:sz w:val="22"/>
          <w:szCs w:val="22"/>
        </w:rPr>
        <w:t xml:space="preserve">Uradni list RS, št. 11/11 </w:t>
      </w:r>
      <w:r w:rsidRPr="0023233D">
        <w:rPr>
          <w:rFonts w:ascii="Arial" w:hAnsi="Arial" w:cs="Arial"/>
          <w:sz w:val="22"/>
          <w:szCs w:val="22"/>
        </w:rPr>
        <w:t>- uradno prečiščeno besedilo), 214. člena pravilnika o postopkih za izvrševanje proračuna Republike Slovenije (Uradni list RS št. 50/07, 61/08), 29. člena zakona o lokalni samoupravi (Uradni list RS, št. 94/07 - uradno prečiščeno besedilo, 27/08 - odločba</w:t>
      </w:r>
      <w:r w:rsidRPr="0023233D">
        <w:rPr>
          <w:rFonts w:ascii="Arial" w:hAnsi="Arial" w:cs="Arial"/>
          <w:color w:val="000000"/>
          <w:sz w:val="22"/>
          <w:szCs w:val="22"/>
        </w:rPr>
        <w:t xml:space="preserve"> US RS, 76/08, 79/09 in 51/10</w:t>
      </w:r>
      <w:r w:rsidRPr="0023233D">
        <w:rPr>
          <w:rFonts w:ascii="Arial" w:hAnsi="Arial" w:cs="Arial"/>
          <w:sz w:val="22"/>
          <w:szCs w:val="22"/>
        </w:rPr>
        <w:t xml:space="preserve">) ter </w:t>
      </w:r>
      <w:smartTag w:uri="urn:schemas-microsoft-com:office:smarttags" w:element="metricconverter">
        <w:smartTagPr>
          <w:attr w:name="ProductID" w:val="16. in"/>
        </w:smartTagPr>
        <w:r w:rsidRPr="0023233D">
          <w:rPr>
            <w:rFonts w:ascii="Arial" w:hAnsi="Arial" w:cs="Arial"/>
            <w:sz w:val="22"/>
            <w:szCs w:val="22"/>
          </w:rPr>
          <w:t>16. in</w:t>
        </w:r>
      </w:smartTag>
      <w:r w:rsidRPr="0023233D">
        <w:rPr>
          <w:rFonts w:ascii="Arial" w:hAnsi="Arial" w:cs="Arial"/>
          <w:sz w:val="22"/>
          <w:szCs w:val="22"/>
        </w:rPr>
        <w:t xml:space="preserve"> 79. člena statuta Občine Krško (Uradni list RS, št. 98/00 - prečiščeno besedilo, 5/03, 57/06 in 47/10) je Občinski svet Občine Krško, na svoji 12. seji, dne 21. 11. 2011, sprejel</w:t>
      </w:r>
    </w:p>
    <w:p w:rsidR="002642D7" w:rsidRPr="0023233D" w:rsidRDefault="002642D7" w:rsidP="002642D7">
      <w:pPr>
        <w:rPr>
          <w:rFonts w:ascii="Arial" w:hAnsi="Arial" w:cs="Arial"/>
          <w:sz w:val="22"/>
          <w:szCs w:val="22"/>
        </w:rPr>
      </w:pPr>
    </w:p>
    <w:p w:rsidR="002642D7" w:rsidRPr="0023233D" w:rsidRDefault="002642D7" w:rsidP="002642D7">
      <w:pPr>
        <w:rPr>
          <w:rFonts w:ascii="Arial" w:hAnsi="Arial" w:cs="Arial"/>
          <w:sz w:val="22"/>
          <w:szCs w:val="22"/>
        </w:rPr>
      </w:pPr>
    </w:p>
    <w:p w:rsidR="002642D7" w:rsidRPr="0023233D" w:rsidRDefault="002642D7" w:rsidP="002642D7">
      <w:pPr>
        <w:autoSpaceDE w:val="0"/>
        <w:autoSpaceDN w:val="0"/>
        <w:adjustRightInd w:val="0"/>
        <w:jc w:val="center"/>
        <w:rPr>
          <w:rFonts w:ascii="Arial" w:hAnsi="Arial" w:cs="Arial"/>
          <w:b/>
          <w:bCs/>
          <w:sz w:val="22"/>
          <w:szCs w:val="22"/>
        </w:rPr>
      </w:pPr>
      <w:r w:rsidRPr="0023233D">
        <w:rPr>
          <w:rFonts w:ascii="Arial" w:hAnsi="Arial" w:cs="Arial"/>
          <w:b/>
          <w:bCs/>
          <w:sz w:val="22"/>
          <w:szCs w:val="22"/>
        </w:rPr>
        <w:t>P R A V I L N I K</w:t>
      </w:r>
    </w:p>
    <w:p w:rsidR="002642D7" w:rsidRPr="0023233D" w:rsidRDefault="002642D7" w:rsidP="002642D7">
      <w:pPr>
        <w:autoSpaceDE w:val="0"/>
        <w:autoSpaceDN w:val="0"/>
        <w:adjustRightInd w:val="0"/>
        <w:jc w:val="center"/>
        <w:rPr>
          <w:rFonts w:ascii="Arial" w:hAnsi="Arial" w:cs="Arial"/>
          <w:b/>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 xml:space="preserve">o sofinanciranju programov na področju tehnične kulture, </w:t>
      </w:r>
    </w:p>
    <w:p w:rsidR="002642D7" w:rsidRPr="0023233D" w:rsidRDefault="002642D7" w:rsidP="002642D7">
      <w:pPr>
        <w:jc w:val="center"/>
        <w:rPr>
          <w:rFonts w:ascii="Arial" w:hAnsi="Arial" w:cs="Arial"/>
          <w:b/>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sz w:val="22"/>
          <w:szCs w:val="22"/>
        </w:rPr>
        <w:t>ki se sofinancirajo iz proračuna Občine Krško.</w:t>
      </w:r>
    </w:p>
    <w:p w:rsidR="002642D7" w:rsidRPr="0023233D" w:rsidRDefault="002642D7" w:rsidP="002642D7">
      <w:pPr>
        <w:jc w:val="center"/>
        <w:rPr>
          <w:rFonts w:ascii="Arial" w:hAnsi="Arial" w:cs="Arial"/>
          <w:b/>
          <w:bCs/>
          <w:color w:val="333333"/>
          <w:sz w:val="22"/>
          <w:szCs w:val="22"/>
        </w:rPr>
      </w:pPr>
    </w:p>
    <w:p w:rsidR="002642D7" w:rsidRPr="0023233D" w:rsidRDefault="002642D7" w:rsidP="002642D7">
      <w:pPr>
        <w:jc w:val="center"/>
        <w:rPr>
          <w:rFonts w:ascii="Arial" w:hAnsi="Arial" w:cs="Arial"/>
          <w:b/>
          <w:bCs/>
          <w:color w:val="333333"/>
          <w:sz w:val="22"/>
          <w:szCs w:val="22"/>
        </w:rPr>
      </w:pPr>
    </w:p>
    <w:p w:rsidR="002642D7" w:rsidRPr="0023233D" w:rsidRDefault="002642D7" w:rsidP="002642D7">
      <w:pPr>
        <w:jc w:val="center"/>
        <w:rPr>
          <w:rFonts w:ascii="Arial" w:hAnsi="Arial" w:cs="Arial"/>
          <w:b/>
          <w:bCs/>
          <w:color w:val="333333"/>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I. SPLOŠNE DOLOČBE</w:t>
      </w:r>
    </w:p>
    <w:p w:rsidR="002642D7" w:rsidRPr="0023233D" w:rsidRDefault="002642D7" w:rsidP="002642D7">
      <w:pPr>
        <w:jc w:val="center"/>
        <w:rPr>
          <w:rFonts w:ascii="Arial" w:hAnsi="Arial" w:cs="Arial"/>
          <w:b/>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1. člen</w:t>
      </w:r>
    </w:p>
    <w:p w:rsidR="002642D7" w:rsidRPr="0023233D" w:rsidRDefault="002642D7" w:rsidP="002642D7">
      <w:pPr>
        <w:jc w:val="both"/>
        <w:rPr>
          <w:rFonts w:ascii="Arial" w:hAnsi="Arial" w:cs="Arial"/>
          <w:sz w:val="22"/>
          <w:szCs w:val="22"/>
        </w:rPr>
      </w:pPr>
    </w:p>
    <w:p w:rsidR="002642D7" w:rsidRPr="0023233D" w:rsidRDefault="002642D7" w:rsidP="002642D7">
      <w:pPr>
        <w:jc w:val="both"/>
        <w:rPr>
          <w:rFonts w:ascii="Arial" w:hAnsi="Arial" w:cs="Arial"/>
          <w:sz w:val="22"/>
          <w:szCs w:val="22"/>
        </w:rPr>
      </w:pPr>
      <w:r w:rsidRPr="0023233D">
        <w:rPr>
          <w:rFonts w:ascii="Arial" w:hAnsi="Arial" w:cs="Arial"/>
          <w:sz w:val="22"/>
          <w:szCs w:val="22"/>
        </w:rPr>
        <w:t>Ta pravilnik opredeljuje pogoje za pridobitev sredstev, izvedbo postopka ter način izvajanja nadzora pri izvedbi programov na področju tehnične kulture, ki se sofinancirajo iz proračuna Občine Krško na podlagi javnega razpisa ali javnega poziva (v nadaljevanju: javni razpis) in izvajajo na njenem območju.</w:t>
      </w:r>
    </w:p>
    <w:p w:rsidR="002642D7" w:rsidRPr="0023233D" w:rsidRDefault="002642D7" w:rsidP="002642D7">
      <w:pPr>
        <w:jc w:val="both"/>
        <w:rPr>
          <w:rFonts w:ascii="Arial" w:hAnsi="Arial" w:cs="Arial"/>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2. člen</w:t>
      </w:r>
    </w:p>
    <w:p w:rsidR="002642D7" w:rsidRPr="0023233D" w:rsidRDefault="002642D7" w:rsidP="002642D7">
      <w:pPr>
        <w:jc w:val="both"/>
        <w:rPr>
          <w:rFonts w:ascii="Arial" w:hAnsi="Arial" w:cs="Arial"/>
          <w:sz w:val="22"/>
          <w:szCs w:val="22"/>
        </w:rPr>
      </w:pPr>
    </w:p>
    <w:p w:rsidR="002642D7" w:rsidRPr="0023233D" w:rsidRDefault="002642D7" w:rsidP="002642D7">
      <w:pPr>
        <w:jc w:val="both"/>
        <w:rPr>
          <w:rFonts w:ascii="Arial" w:hAnsi="Arial" w:cs="Arial"/>
          <w:sz w:val="22"/>
          <w:szCs w:val="22"/>
        </w:rPr>
      </w:pPr>
      <w:r w:rsidRPr="0023233D">
        <w:rPr>
          <w:rFonts w:ascii="Arial" w:hAnsi="Arial" w:cs="Arial"/>
          <w:sz w:val="22"/>
          <w:szCs w:val="22"/>
        </w:rPr>
        <w:t>Občina Krško sofinancira programe s področja tehnične kulture, ki zajema:</w:t>
      </w:r>
    </w:p>
    <w:p w:rsidR="002642D7" w:rsidRPr="0023233D" w:rsidRDefault="002642D7" w:rsidP="002642D7">
      <w:pPr>
        <w:pStyle w:val="Odstavekseznama"/>
        <w:numPr>
          <w:ilvl w:val="0"/>
          <w:numId w:val="1"/>
        </w:numPr>
        <w:ind w:left="851"/>
        <w:contextualSpacing/>
        <w:jc w:val="both"/>
        <w:rPr>
          <w:rFonts w:ascii="Arial" w:hAnsi="Arial" w:cs="Arial"/>
          <w:sz w:val="22"/>
          <w:szCs w:val="22"/>
        </w:rPr>
      </w:pPr>
      <w:r w:rsidRPr="0023233D">
        <w:rPr>
          <w:rFonts w:ascii="Arial" w:hAnsi="Arial" w:cs="Arial"/>
          <w:sz w:val="22"/>
          <w:szCs w:val="22"/>
        </w:rPr>
        <w:t>radioamaterstvo,</w:t>
      </w:r>
    </w:p>
    <w:p w:rsidR="002642D7" w:rsidRPr="0023233D" w:rsidRDefault="002642D7" w:rsidP="002642D7">
      <w:pPr>
        <w:pStyle w:val="Odstavekseznama"/>
        <w:numPr>
          <w:ilvl w:val="0"/>
          <w:numId w:val="1"/>
        </w:numPr>
        <w:ind w:left="851" w:right="28"/>
        <w:contextualSpacing/>
        <w:jc w:val="both"/>
        <w:rPr>
          <w:rFonts w:ascii="Arial" w:hAnsi="Arial" w:cs="Arial"/>
          <w:sz w:val="22"/>
          <w:szCs w:val="22"/>
        </w:rPr>
      </w:pPr>
      <w:r w:rsidRPr="0023233D">
        <w:rPr>
          <w:rFonts w:ascii="Arial" w:hAnsi="Arial" w:cs="Arial"/>
          <w:sz w:val="22"/>
          <w:szCs w:val="22"/>
        </w:rPr>
        <w:t>jamarstvo,</w:t>
      </w:r>
    </w:p>
    <w:p w:rsidR="002642D7" w:rsidRPr="0023233D" w:rsidRDefault="002642D7" w:rsidP="002642D7">
      <w:pPr>
        <w:pStyle w:val="Odstavekseznama"/>
        <w:numPr>
          <w:ilvl w:val="0"/>
          <w:numId w:val="1"/>
        </w:numPr>
        <w:ind w:left="851" w:right="28"/>
        <w:contextualSpacing/>
        <w:jc w:val="both"/>
        <w:rPr>
          <w:rFonts w:ascii="Arial" w:hAnsi="Arial" w:cs="Arial"/>
          <w:sz w:val="22"/>
          <w:szCs w:val="22"/>
        </w:rPr>
      </w:pPr>
      <w:r w:rsidRPr="0023233D">
        <w:rPr>
          <w:rFonts w:ascii="Arial" w:hAnsi="Arial" w:cs="Arial"/>
          <w:sz w:val="22"/>
          <w:szCs w:val="22"/>
        </w:rPr>
        <w:t>modelarstvo,</w:t>
      </w:r>
    </w:p>
    <w:p w:rsidR="002642D7" w:rsidRPr="0023233D" w:rsidRDefault="002642D7" w:rsidP="002642D7">
      <w:pPr>
        <w:pStyle w:val="Odstavekseznama"/>
        <w:numPr>
          <w:ilvl w:val="0"/>
          <w:numId w:val="1"/>
        </w:numPr>
        <w:ind w:left="851" w:right="28"/>
        <w:contextualSpacing/>
        <w:jc w:val="both"/>
        <w:rPr>
          <w:rFonts w:ascii="Arial" w:hAnsi="Arial" w:cs="Arial"/>
          <w:sz w:val="22"/>
          <w:szCs w:val="22"/>
        </w:rPr>
      </w:pPr>
      <w:r w:rsidRPr="0023233D">
        <w:rPr>
          <w:rFonts w:ascii="Arial" w:hAnsi="Arial" w:cs="Arial"/>
          <w:sz w:val="22"/>
          <w:szCs w:val="22"/>
        </w:rPr>
        <w:t>potapljanje z avtonomno potapljaško opremo,</w:t>
      </w:r>
    </w:p>
    <w:p w:rsidR="002642D7" w:rsidRPr="0023233D" w:rsidRDefault="002642D7" w:rsidP="002642D7">
      <w:pPr>
        <w:pStyle w:val="Odstavekseznama"/>
        <w:numPr>
          <w:ilvl w:val="0"/>
          <w:numId w:val="1"/>
        </w:numPr>
        <w:ind w:left="851" w:right="28"/>
        <w:contextualSpacing/>
        <w:jc w:val="both"/>
        <w:rPr>
          <w:rFonts w:ascii="Arial" w:hAnsi="Arial" w:cs="Arial"/>
          <w:sz w:val="22"/>
          <w:szCs w:val="22"/>
        </w:rPr>
      </w:pPr>
      <w:r w:rsidRPr="0023233D">
        <w:rPr>
          <w:rFonts w:ascii="Arial" w:hAnsi="Arial" w:cs="Arial"/>
          <w:sz w:val="22"/>
          <w:szCs w:val="22"/>
        </w:rPr>
        <w:t>astronomija,</w:t>
      </w:r>
    </w:p>
    <w:p w:rsidR="002642D7" w:rsidRPr="0023233D" w:rsidRDefault="002642D7" w:rsidP="002642D7">
      <w:pPr>
        <w:pStyle w:val="Odstavekseznama"/>
        <w:numPr>
          <w:ilvl w:val="0"/>
          <w:numId w:val="1"/>
        </w:numPr>
        <w:ind w:left="851" w:right="28"/>
        <w:contextualSpacing/>
        <w:jc w:val="both"/>
        <w:rPr>
          <w:rFonts w:ascii="Arial" w:hAnsi="Arial" w:cs="Arial"/>
          <w:sz w:val="22"/>
          <w:szCs w:val="22"/>
        </w:rPr>
      </w:pPr>
      <w:r w:rsidRPr="0023233D">
        <w:rPr>
          <w:rFonts w:ascii="Arial" w:hAnsi="Arial" w:cs="Arial"/>
          <w:sz w:val="22"/>
          <w:szCs w:val="22"/>
        </w:rPr>
        <w:t>druga področja tehnične kulture.</w:t>
      </w:r>
    </w:p>
    <w:p w:rsidR="002642D7" w:rsidRPr="0023233D" w:rsidRDefault="002642D7" w:rsidP="002642D7">
      <w:pPr>
        <w:jc w:val="both"/>
        <w:rPr>
          <w:rFonts w:ascii="Arial" w:hAnsi="Arial" w:cs="Arial"/>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3. člen</w:t>
      </w:r>
    </w:p>
    <w:p w:rsidR="002642D7" w:rsidRPr="0023233D" w:rsidRDefault="002642D7" w:rsidP="002642D7">
      <w:pPr>
        <w:jc w:val="both"/>
        <w:rPr>
          <w:rFonts w:ascii="Arial" w:hAnsi="Arial" w:cs="Arial"/>
          <w:sz w:val="22"/>
          <w:szCs w:val="22"/>
        </w:rPr>
      </w:pPr>
    </w:p>
    <w:p w:rsidR="002642D7" w:rsidRPr="0023233D" w:rsidRDefault="002642D7" w:rsidP="002642D7">
      <w:pPr>
        <w:jc w:val="both"/>
        <w:rPr>
          <w:rFonts w:ascii="Arial" w:hAnsi="Arial" w:cs="Arial"/>
          <w:sz w:val="22"/>
          <w:szCs w:val="22"/>
        </w:rPr>
      </w:pPr>
      <w:r w:rsidRPr="0023233D">
        <w:rPr>
          <w:rFonts w:ascii="Arial" w:hAnsi="Arial" w:cs="Arial"/>
          <w:sz w:val="22"/>
          <w:szCs w:val="22"/>
        </w:rPr>
        <w:t xml:space="preserve">Skladno z določbami tega pravilnika se sofinancira letni program dela oz. posamezne aktivnosti in prireditve, ki promovirajo dejavnost, spodbujajo zanimanje za tehnična znanja in uporabo teh znanj v praksi. </w:t>
      </w:r>
    </w:p>
    <w:p w:rsidR="002642D7" w:rsidRPr="0023233D" w:rsidRDefault="002642D7" w:rsidP="002642D7">
      <w:pPr>
        <w:jc w:val="center"/>
        <w:rPr>
          <w:rFonts w:ascii="Arial" w:hAnsi="Arial" w:cs="Arial"/>
          <w:b/>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4. člen</w:t>
      </w:r>
    </w:p>
    <w:p w:rsidR="002642D7" w:rsidRPr="0023233D" w:rsidRDefault="002642D7" w:rsidP="002642D7">
      <w:pPr>
        <w:jc w:val="center"/>
        <w:rPr>
          <w:rFonts w:ascii="Arial" w:hAnsi="Arial" w:cs="Arial"/>
          <w:b/>
          <w:bCs/>
          <w:sz w:val="22"/>
          <w:szCs w:val="22"/>
        </w:rPr>
      </w:pPr>
    </w:p>
    <w:p w:rsidR="002642D7" w:rsidRPr="0023233D" w:rsidRDefault="002642D7" w:rsidP="002642D7">
      <w:pPr>
        <w:jc w:val="both"/>
        <w:rPr>
          <w:rFonts w:ascii="Arial" w:hAnsi="Arial" w:cs="Arial"/>
          <w:sz w:val="22"/>
          <w:szCs w:val="22"/>
        </w:rPr>
      </w:pPr>
      <w:r w:rsidRPr="0023233D">
        <w:rPr>
          <w:rFonts w:ascii="Arial" w:hAnsi="Arial" w:cs="Arial"/>
          <w:sz w:val="22"/>
          <w:szCs w:val="22"/>
        </w:rPr>
        <w:t xml:space="preserve">Pravico do sofinanciranja po tem pravilniku imajo društva njihove zveze, ki so registrirani za opravljanje dejavnosti s področja tehnične kulture in izpolnjujejo naslednje pogoje:  </w:t>
      </w:r>
    </w:p>
    <w:p w:rsidR="002642D7" w:rsidRPr="0023233D" w:rsidRDefault="002642D7" w:rsidP="002642D7">
      <w:pPr>
        <w:pStyle w:val="Odstavekseznama"/>
        <w:numPr>
          <w:ilvl w:val="0"/>
          <w:numId w:val="2"/>
        </w:numPr>
        <w:ind w:left="851"/>
        <w:contextualSpacing/>
        <w:jc w:val="both"/>
        <w:rPr>
          <w:rFonts w:ascii="Arial" w:hAnsi="Arial" w:cs="Arial"/>
          <w:strike/>
          <w:sz w:val="22"/>
          <w:szCs w:val="22"/>
        </w:rPr>
      </w:pPr>
      <w:r w:rsidRPr="0023233D">
        <w:rPr>
          <w:rFonts w:ascii="Arial" w:hAnsi="Arial" w:cs="Arial"/>
          <w:sz w:val="22"/>
          <w:szCs w:val="22"/>
        </w:rPr>
        <w:t>imajo sedež v občini Krško,</w:t>
      </w:r>
    </w:p>
    <w:p w:rsidR="002642D7" w:rsidRPr="0023233D" w:rsidRDefault="002642D7" w:rsidP="002642D7">
      <w:pPr>
        <w:pStyle w:val="Odstavekseznama"/>
        <w:numPr>
          <w:ilvl w:val="0"/>
          <w:numId w:val="2"/>
        </w:numPr>
        <w:ind w:left="851"/>
        <w:contextualSpacing/>
        <w:jc w:val="both"/>
        <w:rPr>
          <w:rFonts w:ascii="Arial" w:hAnsi="Arial" w:cs="Arial"/>
          <w:sz w:val="22"/>
          <w:szCs w:val="22"/>
        </w:rPr>
      </w:pPr>
      <w:r w:rsidRPr="0023233D">
        <w:rPr>
          <w:rFonts w:ascii="Arial" w:hAnsi="Arial" w:cs="Arial"/>
          <w:sz w:val="22"/>
          <w:szCs w:val="22"/>
        </w:rPr>
        <w:t xml:space="preserve">imajo zagotovljene materialne, prostorske, kadrovske in organizacijske pogoje za izvajanje prijavljenih programov/projektov, </w:t>
      </w:r>
    </w:p>
    <w:p w:rsidR="002642D7" w:rsidRPr="0023233D" w:rsidRDefault="002642D7" w:rsidP="002642D7">
      <w:pPr>
        <w:pStyle w:val="Odstavekseznama"/>
        <w:numPr>
          <w:ilvl w:val="0"/>
          <w:numId w:val="2"/>
        </w:numPr>
        <w:ind w:left="851"/>
        <w:contextualSpacing/>
        <w:jc w:val="both"/>
        <w:rPr>
          <w:rFonts w:ascii="Arial" w:hAnsi="Arial" w:cs="Arial"/>
          <w:sz w:val="22"/>
          <w:szCs w:val="22"/>
        </w:rPr>
      </w:pPr>
      <w:r w:rsidRPr="0023233D">
        <w:rPr>
          <w:rFonts w:ascii="Arial" w:hAnsi="Arial" w:cs="Arial"/>
          <w:sz w:val="22"/>
          <w:szCs w:val="22"/>
        </w:rPr>
        <w:t xml:space="preserve">delovanja v razpisanem letu nimajo sofinanciranega iz proračuna Občine Krško v okviru posebnih ali drugih proračunskih postavk, </w:t>
      </w:r>
    </w:p>
    <w:p w:rsidR="002642D7" w:rsidRPr="0023233D" w:rsidRDefault="002642D7" w:rsidP="002642D7">
      <w:pPr>
        <w:pStyle w:val="Odstavekseznama"/>
        <w:numPr>
          <w:ilvl w:val="0"/>
          <w:numId w:val="2"/>
        </w:numPr>
        <w:ind w:left="851"/>
        <w:contextualSpacing/>
        <w:jc w:val="both"/>
        <w:rPr>
          <w:rFonts w:ascii="Arial" w:hAnsi="Arial" w:cs="Arial"/>
          <w:sz w:val="22"/>
          <w:szCs w:val="22"/>
        </w:rPr>
      </w:pPr>
      <w:r w:rsidRPr="0023233D">
        <w:rPr>
          <w:rFonts w:ascii="Arial" w:hAnsi="Arial" w:cs="Arial"/>
          <w:sz w:val="22"/>
          <w:szCs w:val="22"/>
        </w:rPr>
        <w:t xml:space="preserve">imajo izdelano finančno konstrukcijo za prijavljene programe oziroma projekte, iz katerih so razvidni prihodki in odhodki, delež lastnih sredstev, delež javnih sredstev, delež sredstev uporabnikov in delež sredstev iz drugih virov, </w:t>
      </w:r>
    </w:p>
    <w:p w:rsidR="002642D7" w:rsidRPr="0023233D" w:rsidRDefault="002642D7" w:rsidP="002642D7">
      <w:pPr>
        <w:pStyle w:val="Odstavekseznama"/>
        <w:numPr>
          <w:ilvl w:val="0"/>
          <w:numId w:val="2"/>
        </w:numPr>
        <w:ind w:left="851"/>
        <w:contextualSpacing/>
        <w:jc w:val="both"/>
        <w:rPr>
          <w:rFonts w:ascii="Arial" w:hAnsi="Arial" w:cs="Arial"/>
          <w:sz w:val="22"/>
          <w:szCs w:val="22"/>
        </w:rPr>
      </w:pPr>
      <w:r w:rsidRPr="0023233D">
        <w:rPr>
          <w:rFonts w:ascii="Arial" w:hAnsi="Arial" w:cs="Arial"/>
          <w:sz w:val="22"/>
          <w:szCs w:val="22"/>
        </w:rPr>
        <w:lastRenderedPageBreak/>
        <w:t>so v celoti in pravočasno izpolnili pogodbene obveznosti do občine na podlagi razpisa predhodnega leta, če so na njem sodelovali.</w:t>
      </w:r>
    </w:p>
    <w:p w:rsidR="002642D7" w:rsidRPr="0023233D" w:rsidRDefault="002642D7" w:rsidP="002642D7">
      <w:pPr>
        <w:jc w:val="both"/>
        <w:rPr>
          <w:rFonts w:ascii="Arial" w:hAnsi="Arial" w:cs="Arial"/>
          <w:sz w:val="22"/>
          <w:szCs w:val="22"/>
        </w:rPr>
      </w:pPr>
      <w:r w:rsidRPr="0023233D">
        <w:rPr>
          <w:rFonts w:ascii="Arial" w:hAnsi="Arial" w:cs="Arial"/>
          <w:sz w:val="22"/>
          <w:szCs w:val="22"/>
        </w:rPr>
        <w:t xml:space="preserve">Skladno z določbami tega pravilnika se ne sofinancira: </w:t>
      </w:r>
    </w:p>
    <w:p w:rsidR="002642D7" w:rsidRPr="0023233D" w:rsidRDefault="002642D7" w:rsidP="002642D7">
      <w:pPr>
        <w:pStyle w:val="Odstavekseznama"/>
        <w:numPr>
          <w:ilvl w:val="0"/>
          <w:numId w:val="3"/>
        </w:numPr>
        <w:ind w:left="851"/>
        <w:contextualSpacing/>
        <w:jc w:val="both"/>
        <w:rPr>
          <w:rFonts w:ascii="Arial" w:hAnsi="Arial" w:cs="Arial"/>
          <w:sz w:val="22"/>
          <w:szCs w:val="22"/>
        </w:rPr>
      </w:pPr>
      <w:r w:rsidRPr="0023233D">
        <w:rPr>
          <w:rFonts w:ascii="Arial" w:hAnsi="Arial" w:cs="Arial"/>
          <w:sz w:val="22"/>
          <w:szCs w:val="22"/>
        </w:rPr>
        <w:t xml:space="preserve">programov/projektov, ki so sofinancirani iz drugih javnih razpisov Občine Krško ali iz posebnih proračunskih postavk Občine Krško, </w:t>
      </w:r>
    </w:p>
    <w:p w:rsidR="002642D7" w:rsidRPr="0023233D" w:rsidRDefault="002642D7" w:rsidP="002642D7">
      <w:pPr>
        <w:pStyle w:val="Odstavekseznama"/>
        <w:numPr>
          <w:ilvl w:val="0"/>
          <w:numId w:val="3"/>
        </w:numPr>
        <w:ind w:left="851"/>
        <w:contextualSpacing/>
        <w:jc w:val="both"/>
        <w:rPr>
          <w:rFonts w:ascii="Arial" w:hAnsi="Arial" w:cs="Arial"/>
          <w:sz w:val="22"/>
          <w:szCs w:val="22"/>
        </w:rPr>
      </w:pPr>
      <w:r w:rsidRPr="0023233D">
        <w:rPr>
          <w:rFonts w:ascii="Arial" w:hAnsi="Arial" w:cs="Arial"/>
          <w:sz w:val="22"/>
          <w:szCs w:val="22"/>
        </w:rPr>
        <w:t>izvajalcev, ki resorno spadajo na druga področja (šport, zdravstvo, sociala, kultura, gospodarstvo idr.</w:t>
      </w:r>
    </w:p>
    <w:p w:rsidR="002642D7" w:rsidRPr="0023233D" w:rsidRDefault="002642D7" w:rsidP="002642D7">
      <w:pPr>
        <w:jc w:val="center"/>
        <w:rPr>
          <w:rFonts w:ascii="Arial" w:hAnsi="Arial" w:cs="Arial"/>
          <w:b/>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II. JAVNI RAZPIS</w:t>
      </w:r>
    </w:p>
    <w:p w:rsidR="002642D7" w:rsidRPr="0023233D" w:rsidRDefault="002642D7" w:rsidP="002642D7">
      <w:pPr>
        <w:jc w:val="center"/>
        <w:rPr>
          <w:rFonts w:ascii="Arial" w:hAnsi="Arial" w:cs="Arial"/>
          <w:b/>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5. člen</w:t>
      </w:r>
    </w:p>
    <w:p w:rsidR="002642D7" w:rsidRPr="0023233D" w:rsidRDefault="002642D7" w:rsidP="002642D7">
      <w:pPr>
        <w:rPr>
          <w:rFonts w:ascii="Arial" w:hAnsi="Arial" w:cs="Arial"/>
          <w:sz w:val="22"/>
          <w:szCs w:val="22"/>
        </w:rPr>
      </w:pPr>
    </w:p>
    <w:p w:rsidR="002642D7" w:rsidRPr="0023233D" w:rsidRDefault="002642D7" w:rsidP="002642D7">
      <w:pPr>
        <w:jc w:val="both"/>
        <w:rPr>
          <w:rFonts w:ascii="Arial" w:hAnsi="Arial" w:cs="Arial"/>
          <w:sz w:val="22"/>
          <w:szCs w:val="22"/>
        </w:rPr>
      </w:pPr>
      <w:r w:rsidRPr="0023233D">
        <w:rPr>
          <w:rFonts w:ascii="Arial" w:hAnsi="Arial" w:cs="Arial"/>
          <w:sz w:val="22"/>
          <w:szCs w:val="22"/>
        </w:rPr>
        <w:t xml:space="preserve">Postopek javnega razpisa, strokovne presoje in ocenjevanje  programov oziroma projektov, ter vodenje in odločanje v postopku, v z veljavnimi določbami zakonskih in podzakonskih predpisov na področju izvrševanja proračuna, veljavnega Zakona o splošnem upravnem postopku in v skladu s tem pravilnikom, opravita strokovna komisija in pristojen občinski organ.  </w:t>
      </w:r>
    </w:p>
    <w:p w:rsidR="002642D7" w:rsidRPr="0023233D" w:rsidRDefault="002642D7" w:rsidP="002642D7">
      <w:pPr>
        <w:jc w:val="both"/>
        <w:rPr>
          <w:rFonts w:ascii="Arial" w:hAnsi="Arial" w:cs="Arial"/>
          <w:sz w:val="22"/>
          <w:szCs w:val="22"/>
        </w:rPr>
      </w:pPr>
      <w:r w:rsidRPr="0023233D">
        <w:rPr>
          <w:rFonts w:ascii="Arial" w:hAnsi="Arial" w:cs="Arial"/>
          <w:sz w:val="22"/>
          <w:szCs w:val="22"/>
        </w:rPr>
        <w:t>Strokovna komisija šteje najmanj pet in največ devet članov.</w:t>
      </w:r>
    </w:p>
    <w:p w:rsidR="002642D7" w:rsidRPr="0023233D" w:rsidRDefault="002642D7" w:rsidP="002642D7">
      <w:pPr>
        <w:jc w:val="both"/>
        <w:rPr>
          <w:rFonts w:ascii="Arial" w:hAnsi="Arial" w:cs="Arial"/>
          <w:sz w:val="22"/>
          <w:szCs w:val="22"/>
        </w:rPr>
      </w:pPr>
      <w:r w:rsidRPr="0023233D">
        <w:rPr>
          <w:rFonts w:ascii="Arial" w:hAnsi="Arial" w:cs="Arial"/>
          <w:sz w:val="22"/>
          <w:szCs w:val="22"/>
        </w:rPr>
        <w:t>Župan podrobneje imenuje člane komisije z njihovim soglasjem, pri čemer so najmanj trije člani strokovnjaki ali poznavalci na področju tehnične kulture, ter določi še število članov, trajanje mandata, naloge in način dela komisije.</w:t>
      </w:r>
    </w:p>
    <w:p w:rsidR="002642D7" w:rsidRPr="0023233D" w:rsidRDefault="002642D7" w:rsidP="002642D7">
      <w:pPr>
        <w:jc w:val="both"/>
        <w:rPr>
          <w:rFonts w:ascii="Arial" w:hAnsi="Arial" w:cs="Arial"/>
          <w:sz w:val="22"/>
          <w:szCs w:val="22"/>
        </w:rPr>
      </w:pPr>
      <w:r w:rsidRPr="0023233D">
        <w:rPr>
          <w:rFonts w:ascii="Arial" w:hAnsi="Arial" w:cs="Arial"/>
          <w:sz w:val="22"/>
          <w:szCs w:val="22"/>
        </w:rPr>
        <w:t>Član komisije ne sme opravljati dejavnosti upravljanja, predstavljanja, nadzora ali zastopanja pri predlagatelju programa oziroma projekta s področja tehnične kulture. Za vse ostale primere interesne povezanosti se smiselno uporabljajo veljavni predpisi.</w:t>
      </w:r>
    </w:p>
    <w:p w:rsidR="002642D7" w:rsidRPr="0023233D" w:rsidRDefault="002642D7" w:rsidP="002642D7">
      <w:pPr>
        <w:jc w:val="both"/>
        <w:rPr>
          <w:rFonts w:ascii="Arial" w:hAnsi="Arial" w:cs="Arial"/>
          <w:sz w:val="22"/>
          <w:szCs w:val="22"/>
        </w:rPr>
      </w:pPr>
      <w:r w:rsidRPr="0023233D">
        <w:rPr>
          <w:rFonts w:ascii="Arial" w:hAnsi="Arial" w:cs="Arial"/>
          <w:sz w:val="22"/>
          <w:szCs w:val="22"/>
        </w:rPr>
        <w:t xml:space="preserve">Komisija veljavno odloča, če je na seji navzoča večina vseh njenih članov. Komisija sprejema odločitve z večino opredeljenih glasov navzočih članov. </w:t>
      </w:r>
      <w:r w:rsidRPr="0023233D">
        <w:rPr>
          <w:rStyle w:val="st1"/>
          <w:rFonts w:ascii="Arial" w:hAnsi="Arial" w:cs="Arial"/>
          <w:sz w:val="22"/>
          <w:szCs w:val="22"/>
        </w:rPr>
        <w:t xml:space="preserve">V primeru enakega števila glasov </w:t>
      </w:r>
      <w:r w:rsidRPr="0023233D">
        <w:rPr>
          <w:rStyle w:val="Poudarek"/>
          <w:rFonts w:ascii="Arial" w:hAnsi="Arial" w:cs="Arial"/>
          <w:b w:val="0"/>
          <w:sz w:val="22"/>
          <w:szCs w:val="22"/>
        </w:rPr>
        <w:t>odloči glas predsednika strokovne komisije.</w:t>
      </w:r>
      <w:r w:rsidRPr="0023233D">
        <w:rPr>
          <w:rFonts w:ascii="Arial" w:hAnsi="Arial" w:cs="Arial"/>
          <w:sz w:val="22"/>
          <w:szCs w:val="22"/>
        </w:rPr>
        <w:t xml:space="preserve"> Strokovna opravila za komisijo opravlja občinska uprava.</w:t>
      </w:r>
    </w:p>
    <w:p w:rsidR="002642D7" w:rsidRPr="0023233D" w:rsidRDefault="002642D7" w:rsidP="002642D7">
      <w:pPr>
        <w:jc w:val="both"/>
        <w:rPr>
          <w:rFonts w:ascii="Arial" w:hAnsi="Arial" w:cs="Arial"/>
          <w:sz w:val="22"/>
          <w:szCs w:val="22"/>
        </w:rPr>
      </w:pPr>
      <w:r w:rsidRPr="0023233D">
        <w:rPr>
          <w:rFonts w:ascii="Arial" w:hAnsi="Arial" w:cs="Arial"/>
          <w:sz w:val="22"/>
          <w:szCs w:val="22"/>
        </w:rPr>
        <w:t>Ne glede na določbe tega pravilnika lahko župan na predlog strokovne komisije posebej opredeli, katerih vsebin, vrste programov in projektov, Občina Krško ne bo sofinancirala.</w:t>
      </w:r>
    </w:p>
    <w:p w:rsidR="002642D7" w:rsidRPr="0023233D" w:rsidRDefault="002642D7" w:rsidP="002642D7">
      <w:pPr>
        <w:jc w:val="both"/>
        <w:rPr>
          <w:rFonts w:ascii="Arial" w:hAnsi="Arial" w:cs="Arial"/>
          <w:sz w:val="22"/>
          <w:szCs w:val="22"/>
        </w:rPr>
      </w:pPr>
      <w:r w:rsidRPr="0023233D">
        <w:rPr>
          <w:rFonts w:ascii="Arial" w:hAnsi="Arial" w:cs="Arial"/>
          <w:sz w:val="22"/>
          <w:szCs w:val="22"/>
        </w:rPr>
        <w:t>Letno višino sredstev določi Občinski svet s proračunom, ki se oblikujejo na ustrezni proračunski postavki. Višina sredstev v posameznem proračunskem letu je odvisna od zmožnosti občinskega proračuna za posamezno proračunsko leto.</w:t>
      </w:r>
    </w:p>
    <w:p w:rsidR="002642D7" w:rsidRPr="0023233D" w:rsidRDefault="002642D7" w:rsidP="002642D7">
      <w:pPr>
        <w:jc w:val="both"/>
        <w:rPr>
          <w:rFonts w:ascii="Arial" w:hAnsi="Arial" w:cs="Arial"/>
          <w:sz w:val="22"/>
          <w:szCs w:val="22"/>
        </w:rPr>
      </w:pPr>
      <w:r w:rsidRPr="0023233D">
        <w:rPr>
          <w:rFonts w:ascii="Arial" w:hAnsi="Arial" w:cs="Arial"/>
          <w:sz w:val="22"/>
          <w:szCs w:val="22"/>
        </w:rPr>
        <w:t>Za javni razpis oziroma poziv se pripravi ustrezna razpisna dokumentacija, v kateri se podrobneje določijo merila in kriteriji ter dokazila, ki jih morajo predlagatelji priložiti k prijavi.</w:t>
      </w:r>
    </w:p>
    <w:p w:rsidR="002642D7" w:rsidRPr="0023233D" w:rsidRDefault="002642D7" w:rsidP="002642D7">
      <w:pPr>
        <w:jc w:val="both"/>
        <w:rPr>
          <w:rFonts w:ascii="Arial" w:hAnsi="Arial" w:cs="Arial"/>
          <w:sz w:val="22"/>
          <w:szCs w:val="22"/>
        </w:rPr>
      </w:pPr>
      <w:r w:rsidRPr="0023233D">
        <w:rPr>
          <w:rFonts w:ascii="Arial" w:hAnsi="Arial" w:cs="Arial"/>
          <w:sz w:val="22"/>
          <w:szCs w:val="22"/>
        </w:rPr>
        <w:t>Predlagatelji svoje predloge oddajo na posebnih enotnih obrazcih.</w:t>
      </w:r>
    </w:p>
    <w:p w:rsidR="002642D7" w:rsidRPr="0023233D" w:rsidRDefault="002642D7" w:rsidP="002642D7">
      <w:pPr>
        <w:jc w:val="both"/>
        <w:rPr>
          <w:rFonts w:ascii="Arial" w:hAnsi="Arial" w:cs="Arial"/>
          <w:color w:val="FF0000"/>
          <w:sz w:val="22"/>
          <w:szCs w:val="22"/>
        </w:rPr>
      </w:pPr>
      <w:r w:rsidRPr="0023233D">
        <w:rPr>
          <w:rFonts w:ascii="Arial" w:hAnsi="Arial" w:cs="Arial"/>
          <w:sz w:val="22"/>
          <w:szCs w:val="22"/>
        </w:rPr>
        <w:t>Rezultati javnega razpisa se objavijo na spletni strani Občine Krško.</w:t>
      </w:r>
    </w:p>
    <w:p w:rsidR="002642D7" w:rsidRDefault="002642D7" w:rsidP="002642D7">
      <w:pPr>
        <w:jc w:val="center"/>
        <w:outlineLvl w:val="0"/>
        <w:rPr>
          <w:rFonts w:ascii="Arial" w:hAnsi="Arial" w:cs="Arial"/>
          <w:b/>
          <w:sz w:val="22"/>
          <w:szCs w:val="22"/>
        </w:rPr>
      </w:pPr>
    </w:p>
    <w:p w:rsidR="002642D7" w:rsidRPr="0023233D" w:rsidRDefault="002642D7" w:rsidP="002642D7">
      <w:pPr>
        <w:jc w:val="center"/>
        <w:outlineLvl w:val="0"/>
        <w:rPr>
          <w:rFonts w:ascii="Arial" w:hAnsi="Arial" w:cs="Arial"/>
          <w:b/>
          <w:sz w:val="22"/>
          <w:szCs w:val="22"/>
        </w:rPr>
      </w:pPr>
      <w:r w:rsidRPr="0023233D">
        <w:rPr>
          <w:rFonts w:ascii="Arial" w:hAnsi="Arial" w:cs="Arial"/>
          <w:b/>
          <w:sz w:val="22"/>
          <w:szCs w:val="22"/>
        </w:rPr>
        <w:t>6. člen</w:t>
      </w:r>
    </w:p>
    <w:p w:rsidR="002642D7" w:rsidRPr="0023233D" w:rsidRDefault="002642D7" w:rsidP="002642D7">
      <w:pPr>
        <w:jc w:val="both"/>
        <w:rPr>
          <w:rFonts w:ascii="Arial" w:hAnsi="Arial" w:cs="Arial"/>
          <w:sz w:val="22"/>
          <w:szCs w:val="22"/>
        </w:rPr>
      </w:pPr>
    </w:p>
    <w:p w:rsidR="002642D7" w:rsidRPr="0023233D" w:rsidRDefault="002642D7" w:rsidP="002642D7">
      <w:pPr>
        <w:jc w:val="both"/>
        <w:rPr>
          <w:rFonts w:ascii="Arial" w:hAnsi="Arial" w:cs="Arial"/>
          <w:sz w:val="22"/>
          <w:szCs w:val="22"/>
        </w:rPr>
      </w:pPr>
      <w:r w:rsidRPr="0023233D">
        <w:rPr>
          <w:rFonts w:ascii="Arial" w:hAnsi="Arial" w:cs="Arial"/>
          <w:sz w:val="22"/>
          <w:szCs w:val="22"/>
        </w:rPr>
        <w:t>Sklepanje pogodb z izbranimi prijavitelji se opravi v petnajstih dneh od dokončnosti odločb o izboru. Če kateri od prijaviteljev v roku petnajstih dni od vročitve pogodbe le-te ne podpiše, se šteje, da odstopa od pogodbe in se nepreklicno odpoveduje pravici do sofinanciranja prijavljenega programa.</w:t>
      </w:r>
    </w:p>
    <w:p w:rsidR="002642D7" w:rsidRPr="0023233D" w:rsidRDefault="002642D7" w:rsidP="002642D7">
      <w:pPr>
        <w:jc w:val="both"/>
        <w:rPr>
          <w:rFonts w:ascii="Arial" w:hAnsi="Arial" w:cs="Arial"/>
          <w:sz w:val="22"/>
          <w:szCs w:val="22"/>
        </w:rPr>
      </w:pPr>
      <w:r w:rsidRPr="0023233D">
        <w:rPr>
          <w:rFonts w:ascii="Arial" w:hAnsi="Arial" w:cs="Arial"/>
          <w:sz w:val="22"/>
          <w:szCs w:val="22"/>
        </w:rPr>
        <w:t xml:space="preserve">Pogodba o sofinanciranju se sklene na podlagi veljavnega proračuna. </w:t>
      </w:r>
    </w:p>
    <w:p w:rsidR="002642D7" w:rsidRDefault="002642D7" w:rsidP="002642D7">
      <w:pPr>
        <w:jc w:val="both"/>
        <w:rPr>
          <w:rFonts w:ascii="Arial" w:hAnsi="Arial" w:cs="Arial"/>
          <w:sz w:val="22"/>
          <w:szCs w:val="22"/>
        </w:rPr>
      </w:pPr>
    </w:p>
    <w:p w:rsidR="002642D7" w:rsidRPr="0023233D" w:rsidRDefault="002642D7" w:rsidP="002642D7">
      <w:pPr>
        <w:jc w:val="center"/>
        <w:outlineLvl w:val="0"/>
        <w:rPr>
          <w:rFonts w:ascii="Arial" w:hAnsi="Arial" w:cs="Arial"/>
          <w:b/>
          <w:sz w:val="22"/>
          <w:szCs w:val="22"/>
        </w:rPr>
      </w:pPr>
      <w:r w:rsidRPr="0023233D">
        <w:rPr>
          <w:rFonts w:ascii="Arial" w:hAnsi="Arial" w:cs="Arial"/>
          <w:b/>
          <w:sz w:val="22"/>
          <w:szCs w:val="22"/>
        </w:rPr>
        <w:t>7. člen</w:t>
      </w:r>
    </w:p>
    <w:p w:rsidR="002642D7" w:rsidRPr="0023233D" w:rsidRDefault="002642D7" w:rsidP="002642D7">
      <w:pPr>
        <w:jc w:val="both"/>
        <w:rPr>
          <w:rFonts w:ascii="Arial" w:hAnsi="Arial" w:cs="Arial"/>
          <w:sz w:val="22"/>
          <w:szCs w:val="22"/>
        </w:rPr>
      </w:pPr>
    </w:p>
    <w:p w:rsidR="002642D7" w:rsidRPr="0023233D" w:rsidRDefault="002642D7" w:rsidP="002642D7">
      <w:pPr>
        <w:tabs>
          <w:tab w:val="left" w:pos="6946"/>
        </w:tabs>
        <w:jc w:val="both"/>
        <w:rPr>
          <w:rFonts w:ascii="Arial" w:hAnsi="Arial" w:cs="Arial"/>
          <w:sz w:val="22"/>
          <w:szCs w:val="22"/>
        </w:rPr>
      </w:pPr>
      <w:r w:rsidRPr="0023233D">
        <w:rPr>
          <w:rFonts w:ascii="Arial" w:hAnsi="Arial" w:cs="Arial"/>
          <w:sz w:val="22"/>
          <w:szCs w:val="22"/>
        </w:rPr>
        <w:t xml:space="preserve">Izvajalec bo pogodbeni znesek prejel po oddaji vsebinskega in finančnega poročila o izvedenem programu oz. projektu z dokazili o izvedbi, v roku, ki je določen z veljavnimi predpisi o izvajanju proračuna Republike Slovenije in Občine Krško. </w:t>
      </w:r>
    </w:p>
    <w:p w:rsidR="002642D7" w:rsidRPr="0023233D" w:rsidRDefault="002642D7" w:rsidP="002642D7">
      <w:pPr>
        <w:jc w:val="both"/>
        <w:rPr>
          <w:rFonts w:ascii="Arial" w:hAnsi="Arial" w:cs="Arial"/>
          <w:sz w:val="22"/>
          <w:szCs w:val="22"/>
        </w:rPr>
      </w:pPr>
      <w:r w:rsidRPr="0023233D">
        <w:rPr>
          <w:rFonts w:ascii="Arial" w:hAnsi="Arial" w:cs="Arial"/>
          <w:sz w:val="22"/>
          <w:szCs w:val="22"/>
        </w:rPr>
        <w:t xml:space="preserve">Vrsta dokazil, s katerim izvajalci izkazujejo, katere programe, v kakšnem obsegu in na kakšen način izvajajo v posameznem letu, ter obdobje, v katerem morajo ta dokazila predložiti, se opredeli v razpisnih pogojih. </w:t>
      </w:r>
    </w:p>
    <w:p w:rsidR="002642D7" w:rsidRPr="0023233D" w:rsidRDefault="002642D7" w:rsidP="002642D7">
      <w:pPr>
        <w:jc w:val="center"/>
        <w:rPr>
          <w:rFonts w:ascii="Arial" w:hAnsi="Arial" w:cs="Arial"/>
          <w:b/>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III. MERILA ZA SOFINANCIRANJE</w:t>
      </w:r>
    </w:p>
    <w:p w:rsidR="002642D7" w:rsidRPr="0023233D" w:rsidRDefault="002642D7" w:rsidP="002642D7">
      <w:pPr>
        <w:jc w:val="center"/>
        <w:rPr>
          <w:rFonts w:ascii="Arial" w:hAnsi="Arial" w:cs="Arial"/>
          <w:b/>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8. člen</w:t>
      </w:r>
    </w:p>
    <w:p w:rsidR="002642D7" w:rsidRPr="0023233D" w:rsidRDefault="002642D7" w:rsidP="002642D7">
      <w:pPr>
        <w:jc w:val="both"/>
        <w:rPr>
          <w:rFonts w:ascii="Arial" w:hAnsi="Arial" w:cs="Arial"/>
          <w:sz w:val="22"/>
          <w:szCs w:val="22"/>
        </w:rPr>
      </w:pPr>
    </w:p>
    <w:p w:rsidR="002642D7" w:rsidRPr="0023233D" w:rsidRDefault="002642D7" w:rsidP="002642D7">
      <w:pPr>
        <w:jc w:val="both"/>
        <w:rPr>
          <w:rFonts w:ascii="Arial" w:hAnsi="Arial" w:cs="Arial"/>
          <w:sz w:val="22"/>
          <w:szCs w:val="22"/>
        </w:rPr>
      </w:pPr>
      <w:r w:rsidRPr="0023233D">
        <w:rPr>
          <w:rFonts w:ascii="Arial" w:hAnsi="Arial" w:cs="Arial"/>
          <w:sz w:val="22"/>
          <w:szCs w:val="22"/>
        </w:rPr>
        <w:t>Kriteriji in merila se določijo z vsakoletnim javnim razpisom.</w:t>
      </w:r>
    </w:p>
    <w:p w:rsidR="002642D7" w:rsidRPr="0023233D" w:rsidRDefault="002642D7" w:rsidP="002642D7">
      <w:pPr>
        <w:jc w:val="both"/>
        <w:rPr>
          <w:rFonts w:ascii="Arial" w:hAnsi="Arial" w:cs="Arial"/>
          <w:sz w:val="22"/>
          <w:szCs w:val="22"/>
        </w:rPr>
      </w:pPr>
      <w:r w:rsidRPr="002642D7">
        <w:rPr>
          <w:rFonts w:ascii="Arial" w:hAnsi="Arial" w:cs="Arial"/>
          <w:sz w:val="22"/>
          <w:szCs w:val="22"/>
        </w:rPr>
        <w:t xml:space="preserve">Pristojni </w:t>
      </w:r>
      <w:r w:rsidRPr="002642D7">
        <w:rPr>
          <w:rStyle w:val="highlight1"/>
          <w:rFonts w:ascii="Arial" w:hAnsi="Arial" w:cs="Arial"/>
          <w:color w:val="auto"/>
          <w:sz w:val="22"/>
          <w:szCs w:val="22"/>
        </w:rPr>
        <w:t>organ in strokovna komisija</w:t>
      </w:r>
      <w:r w:rsidRPr="002642D7">
        <w:rPr>
          <w:rFonts w:ascii="Arial" w:hAnsi="Arial" w:cs="Arial"/>
          <w:sz w:val="22"/>
          <w:szCs w:val="22"/>
        </w:rPr>
        <w:t xml:space="preserve"> lahko v skladu z javnim interesom za tehnično kulturo</w:t>
      </w:r>
      <w:r w:rsidRPr="0023233D">
        <w:rPr>
          <w:rFonts w:ascii="Arial" w:hAnsi="Arial" w:cs="Arial"/>
          <w:sz w:val="22"/>
          <w:szCs w:val="22"/>
        </w:rPr>
        <w:t xml:space="preserve"> na območju občine Krško in če je to potrebno, po prostem preudarku ocenjujeta in odločata o sofinanciranju programov in projektov. </w:t>
      </w:r>
    </w:p>
    <w:p w:rsidR="002642D7" w:rsidRPr="0023233D" w:rsidRDefault="002642D7" w:rsidP="002642D7">
      <w:pPr>
        <w:jc w:val="both"/>
        <w:rPr>
          <w:rFonts w:ascii="Arial" w:hAnsi="Arial" w:cs="Arial"/>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IV. NADZOR IN NAMENSKA PORABA SREDSTEV</w:t>
      </w:r>
    </w:p>
    <w:p w:rsidR="002642D7" w:rsidRPr="0023233D" w:rsidRDefault="002642D7" w:rsidP="002642D7">
      <w:pPr>
        <w:jc w:val="center"/>
        <w:rPr>
          <w:rFonts w:ascii="Arial" w:hAnsi="Arial" w:cs="Arial"/>
          <w:b/>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9. člen</w:t>
      </w:r>
    </w:p>
    <w:p w:rsidR="002642D7" w:rsidRPr="0023233D" w:rsidRDefault="002642D7" w:rsidP="002642D7">
      <w:pPr>
        <w:jc w:val="both"/>
        <w:rPr>
          <w:rFonts w:ascii="Arial" w:hAnsi="Arial" w:cs="Arial"/>
          <w:sz w:val="22"/>
          <w:szCs w:val="22"/>
        </w:rPr>
      </w:pPr>
    </w:p>
    <w:p w:rsidR="002642D7" w:rsidRPr="0023233D" w:rsidRDefault="002642D7" w:rsidP="002642D7">
      <w:pPr>
        <w:jc w:val="both"/>
        <w:rPr>
          <w:rFonts w:ascii="Arial" w:hAnsi="Arial" w:cs="Arial"/>
          <w:sz w:val="22"/>
          <w:szCs w:val="22"/>
        </w:rPr>
      </w:pPr>
      <w:r w:rsidRPr="0023233D">
        <w:rPr>
          <w:rFonts w:ascii="Arial" w:hAnsi="Arial" w:cs="Arial"/>
          <w:sz w:val="22"/>
          <w:szCs w:val="22"/>
        </w:rPr>
        <w:t>Izvajalci poročilo o izvedenih programih oddajo na obrazcih, ki jih pripravi strokovna komisija in so že del razpisne dokumentacije. Poročila obravnava tudi strokovna komisija, praviloma pred vsakoletno objavo javnega razpisa za naslednje leto.</w:t>
      </w:r>
    </w:p>
    <w:p w:rsidR="002642D7" w:rsidRPr="0023233D" w:rsidRDefault="002642D7" w:rsidP="002642D7">
      <w:pPr>
        <w:jc w:val="both"/>
        <w:rPr>
          <w:rFonts w:ascii="Arial" w:hAnsi="Arial" w:cs="Arial"/>
          <w:sz w:val="22"/>
          <w:szCs w:val="22"/>
        </w:rPr>
      </w:pPr>
      <w:r w:rsidRPr="0023233D">
        <w:rPr>
          <w:rFonts w:ascii="Arial" w:hAnsi="Arial" w:cs="Arial"/>
          <w:sz w:val="22"/>
          <w:szCs w:val="22"/>
        </w:rPr>
        <w:t>Izvajalci, ki so bili izbrani na javnem razpisu, so dolžni projekte izvajati v skladu s tem pravilnikom ter veljavnimi predpisi na področju tehnične kulture.</w:t>
      </w:r>
    </w:p>
    <w:p w:rsidR="002642D7" w:rsidRPr="0023233D" w:rsidRDefault="002642D7" w:rsidP="002642D7">
      <w:pPr>
        <w:jc w:val="both"/>
        <w:rPr>
          <w:rFonts w:ascii="Arial" w:hAnsi="Arial" w:cs="Arial"/>
          <w:sz w:val="22"/>
          <w:szCs w:val="22"/>
        </w:rPr>
      </w:pPr>
      <w:r w:rsidRPr="0023233D">
        <w:rPr>
          <w:rFonts w:ascii="Arial" w:hAnsi="Arial" w:cs="Arial"/>
          <w:sz w:val="22"/>
          <w:szCs w:val="22"/>
        </w:rPr>
        <w:t>Prejemnik sredstev iz proračuna lokalne skupnosti je na zahtevo sofinancerja dolžan predložiti dokazila o namenski porabi sredstev ter dokazila o zagotovitvi drugih virov, navedenih v finančni konstrukciji.</w:t>
      </w:r>
    </w:p>
    <w:p w:rsidR="002642D7" w:rsidRPr="0023233D" w:rsidRDefault="002642D7" w:rsidP="002642D7">
      <w:pPr>
        <w:jc w:val="both"/>
        <w:rPr>
          <w:rFonts w:ascii="Arial" w:hAnsi="Arial" w:cs="Arial"/>
          <w:sz w:val="22"/>
          <w:szCs w:val="22"/>
        </w:rPr>
      </w:pPr>
      <w:r w:rsidRPr="0023233D">
        <w:rPr>
          <w:rFonts w:ascii="Arial" w:hAnsi="Arial" w:cs="Arial"/>
          <w:sz w:val="22"/>
          <w:szCs w:val="22"/>
        </w:rPr>
        <w:t>Kolikor je ugotovljena nenamenska poraba sredstev iz proračuna lokalne skupnosti, se sofinanciranje takoj prekine, že prejeta sredstva pa mora izvajalec vrniti skupaj z zakonitimi zamudnimi obrestmi.</w:t>
      </w:r>
    </w:p>
    <w:p w:rsidR="002642D7" w:rsidRPr="0023233D" w:rsidRDefault="002642D7" w:rsidP="002642D7">
      <w:pPr>
        <w:jc w:val="both"/>
        <w:rPr>
          <w:rFonts w:ascii="Arial" w:hAnsi="Arial" w:cs="Arial"/>
          <w:sz w:val="22"/>
          <w:szCs w:val="22"/>
        </w:rPr>
      </w:pPr>
      <w:r w:rsidRPr="0023233D">
        <w:rPr>
          <w:rFonts w:ascii="Arial" w:hAnsi="Arial" w:cs="Arial"/>
          <w:sz w:val="22"/>
          <w:szCs w:val="22"/>
        </w:rPr>
        <w:t>Izvajalec, ki krši pogodbena določila, ne more kandidirati za sredstva na naslednjem javnem razpisu občine.</w:t>
      </w:r>
    </w:p>
    <w:p w:rsidR="002642D7" w:rsidRPr="0023233D" w:rsidRDefault="002642D7" w:rsidP="002642D7">
      <w:pPr>
        <w:jc w:val="both"/>
        <w:rPr>
          <w:rFonts w:ascii="Arial" w:hAnsi="Arial" w:cs="Arial"/>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10. člen</w:t>
      </w:r>
    </w:p>
    <w:p w:rsidR="002642D7" w:rsidRPr="0023233D" w:rsidRDefault="002642D7" w:rsidP="002642D7">
      <w:pPr>
        <w:jc w:val="both"/>
        <w:rPr>
          <w:rFonts w:ascii="Arial" w:hAnsi="Arial" w:cs="Arial"/>
          <w:sz w:val="22"/>
          <w:szCs w:val="22"/>
        </w:rPr>
      </w:pPr>
    </w:p>
    <w:p w:rsidR="002642D7" w:rsidRPr="0023233D" w:rsidRDefault="002642D7" w:rsidP="002642D7">
      <w:pPr>
        <w:jc w:val="both"/>
        <w:rPr>
          <w:rFonts w:ascii="Arial" w:hAnsi="Arial" w:cs="Arial"/>
          <w:b/>
          <w:i/>
          <w:sz w:val="22"/>
          <w:szCs w:val="22"/>
        </w:rPr>
      </w:pPr>
      <w:r w:rsidRPr="0023233D">
        <w:rPr>
          <w:rFonts w:ascii="Arial" w:hAnsi="Arial" w:cs="Arial"/>
          <w:sz w:val="22"/>
          <w:szCs w:val="22"/>
        </w:rPr>
        <w:t xml:space="preserve">Strokovni nadzor nad izvajanjem programov tehnične kulture v občini Krško izvaja občinska uprava ter enkrat letno poroča Občinskemu svetu o realizaciji programov v okviru zaključnega računa proračuna. </w:t>
      </w:r>
    </w:p>
    <w:p w:rsidR="002642D7" w:rsidRPr="0023233D" w:rsidRDefault="002642D7" w:rsidP="002642D7">
      <w:pPr>
        <w:rPr>
          <w:rFonts w:ascii="Arial" w:hAnsi="Arial" w:cs="Arial"/>
          <w:b/>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V. KONČNA DOLOČBA</w:t>
      </w:r>
    </w:p>
    <w:p w:rsidR="002642D7" w:rsidRPr="0023233D" w:rsidRDefault="002642D7" w:rsidP="002642D7">
      <w:pPr>
        <w:jc w:val="center"/>
        <w:rPr>
          <w:rFonts w:ascii="Arial" w:hAnsi="Arial" w:cs="Arial"/>
          <w:b/>
          <w:bCs/>
          <w:sz w:val="22"/>
          <w:szCs w:val="22"/>
        </w:rPr>
      </w:pPr>
    </w:p>
    <w:p w:rsidR="002642D7" w:rsidRPr="0023233D" w:rsidRDefault="002642D7" w:rsidP="002642D7">
      <w:pPr>
        <w:jc w:val="center"/>
        <w:rPr>
          <w:rFonts w:ascii="Arial" w:hAnsi="Arial" w:cs="Arial"/>
          <w:b/>
          <w:bCs/>
          <w:sz w:val="22"/>
          <w:szCs w:val="22"/>
        </w:rPr>
      </w:pPr>
      <w:r w:rsidRPr="0023233D">
        <w:rPr>
          <w:rFonts w:ascii="Arial" w:hAnsi="Arial" w:cs="Arial"/>
          <w:b/>
          <w:bCs/>
          <w:sz w:val="22"/>
          <w:szCs w:val="22"/>
        </w:rPr>
        <w:t>11. člen</w:t>
      </w:r>
    </w:p>
    <w:p w:rsidR="002642D7" w:rsidRPr="0023233D" w:rsidRDefault="002642D7" w:rsidP="002642D7">
      <w:pPr>
        <w:jc w:val="both"/>
        <w:rPr>
          <w:rFonts w:ascii="Arial" w:hAnsi="Arial" w:cs="Arial"/>
          <w:sz w:val="22"/>
          <w:szCs w:val="22"/>
        </w:rPr>
      </w:pPr>
    </w:p>
    <w:p w:rsidR="002642D7" w:rsidRPr="0023233D" w:rsidRDefault="002642D7" w:rsidP="002642D7">
      <w:pPr>
        <w:shd w:val="clear" w:color="auto" w:fill="FFFFFF"/>
        <w:jc w:val="both"/>
        <w:rPr>
          <w:rFonts w:ascii="Arial" w:hAnsi="Arial" w:cs="Arial"/>
          <w:color w:val="000000"/>
          <w:spacing w:val="1"/>
          <w:sz w:val="22"/>
          <w:szCs w:val="22"/>
        </w:rPr>
      </w:pPr>
      <w:r w:rsidRPr="0023233D">
        <w:rPr>
          <w:rFonts w:ascii="Arial" w:hAnsi="Arial" w:cs="Arial"/>
          <w:color w:val="000000"/>
          <w:spacing w:val="1"/>
          <w:sz w:val="22"/>
          <w:szCs w:val="22"/>
        </w:rPr>
        <w:t xml:space="preserve">Ta pravilnik začne veljati </w:t>
      </w:r>
      <w:r w:rsidRPr="0023233D">
        <w:rPr>
          <w:rFonts w:ascii="Arial" w:hAnsi="Arial" w:cs="Arial"/>
          <w:spacing w:val="1"/>
          <w:sz w:val="22"/>
          <w:szCs w:val="22"/>
        </w:rPr>
        <w:t>naslednji</w:t>
      </w:r>
      <w:r w:rsidRPr="0023233D">
        <w:rPr>
          <w:rFonts w:ascii="Arial" w:hAnsi="Arial" w:cs="Arial"/>
          <w:color w:val="000000"/>
          <w:spacing w:val="1"/>
          <w:sz w:val="22"/>
          <w:szCs w:val="22"/>
        </w:rPr>
        <w:t xml:space="preserve"> dan po objavi v Uradnem listu Republike Slovenije.</w:t>
      </w:r>
    </w:p>
    <w:p w:rsidR="002642D7" w:rsidRPr="000A5260" w:rsidRDefault="002642D7" w:rsidP="002642D7">
      <w:pPr>
        <w:rPr>
          <w:rFonts w:ascii="Arial" w:hAnsi="Arial" w:cs="Arial"/>
          <w:sz w:val="22"/>
          <w:szCs w:val="22"/>
        </w:rPr>
      </w:pPr>
    </w:p>
    <w:p w:rsidR="002642D7" w:rsidRPr="000A5260" w:rsidRDefault="002642D7" w:rsidP="002642D7">
      <w:pPr>
        <w:rPr>
          <w:rFonts w:ascii="Arial" w:hAnsi="Arial" w:cs="Arial"/>
          <w:sz w:val="22"/>
          <w:szCs w:val="22"/>
        </w:rPr>
      </w:pPr>
    </w:p>
    <w:p w:rsidR="002642D7" w:rsidRPr="000A5260" w:rsidRDefault="002642D7" w:rsidP="002642D7">
      <w:pPr>
        <w:rPr>
          <w:rFonts w:ascii="Arial" w:hAnsi="Arial" w:cs="Arial"/>
          <w:sz w:val="22"/>
          <w:szCs w:val="22"/>
        </w:rPr>
      </w:pPr>
    </w:p>
    <w:p w:rsidR="002642D7" w:rsidRPr="000A5260" w:rsidRDefault="002642D7" w:rsidP="002642D7">
      <w:pPr>
        <w:rPr>
          <w:rFonts w:ascii="Arial" w:hAnsi="Arial" w:cs="Arial"/>
          <w:sz w:val="22"/>
          <w:szCs w:val="22"/>
        </w:rPr>
      </w:pPr>
    </w:p>
    <w:p w:rsidR="002642D7" w:rsidRPr="000A5260" w:rsidRDefault="002642D7" w:rsidP="002642D7">
      <w:pPr>
        <w:tabs>
          <w:tab w:val="left" w:pos="993"/>
        </w:tabs>
        <w:rPr>
          <w:rFonts w:ascii="Arial" w:hAnsi="Arial" w:cs="Arial"/>
          <w:sz w:val="22"/>
          <w:szCs w:val="22"/>
        </w:rPr>
      </w:pPr>
      <w:r w:rsidRPr="000A5260">
        <w:rPr>
          <w:rFonts w:ascii="Arial" w:hAnsi="Arial" w:cs="Arial"/>
          <w:sz w:val="22"/>
          <w:szCs w:val="22"/>
        </w:rPr>
        <w:t>Številka:</w:t>
      </w:r>
      <w:r w:rsidRPr="000A5260">
        <w:rPr>
          <w:rFonts w:ascii="Arial" w:hAnsi="Arial" w:cs="Arial"/>
          <w:sz w:val="22"/>
          <w:szCs w:val="22"/>
        </w:rPr>
        <w:tab/>
        <w:t>007-15/2011-O703</w:t>
      </w:r>
    </w:p>
    <w:p w:rsidR="002642D7" w:rsidRPr="000A5260" w:rsidRDefault="002642D7" w:rsidP="002642D7">
      <w:pPr>
        <w:tabs>
          <w:tab w:val="left" w:pos="993"/>
        </w:tabs>
        <w:rPr>
          <w:rFonts w:ascii="Arial" w:hAnsi="Arial" w:cs="Arial"/>
          <w:sz w:val="22"/>
          <w:szCs w:val="22"/>
        </w:rPr>
      </w:pPr>
      <w:r w:rsidRPr="000A5260">
        <w:rPr>
          <w:rFonts w:ascii="Arial" w:hAnsi="Arial" w:cs="Arial"/>
          <w:sz w:val="22"/>
          <w:szCs w:val="22"/>
        </w:rPr>
        <w:t xml:space="preserve">Datum: </w:t>
      </w:r>
      <w:r w:rsidRPr="000A5260">
        <w:rPr>
          <w:rFonts w:ascii="Arial" w:hAnsi="Arial" w:cs="Arial"/>
          <w:sz w:val="22"/>
          <w:szCs w:val="22"/>
        </w:rPr>
        <w:tab/>
        <w:t>21. 11. 2011</w:t>
      </w:r>
    </w:p>
    <w:p w:rsidR="002642D7" w:rsidRPr="000A5260" w:rsidRDefault="002642D7" w:rsidP="002642D7">
      <w:pPr>
        <w:rPr>
          <w:rFonts w:ascii="Arial" w:hAnsi="Arial" w:cs="Arial"/>
          <w:sz w:val="22"/>
          <w:szCs w:val="22"/>
        </w:rPr>
      </w:pPr>
    </w:p>
    <w:p w:rsidR="002642D7" w:rsidRPr="000A5260" w:rsidRDefault="002642D7" w:rsidP="002642D7">
      <w:pPr>
        <w:ind w:left="5103" w:right="566"/>
        <w:jc w:val="center"/>
        <w:rPr>
          <w:rFonts w:ascii="Arial" w:hAnsi="Arial" w:cs="Arial"/>
          <w:sz w:val="22"/>
          <w:szCs w:val="22"/>
        </w:rPr>
      </w:pPr>
    </w:p>
    <w:p w:rsidR="002642D7" w:rsidRPr="000A5260" w:rsidRDefault="002642D7" w:rsidP="002642D7">
      <w:pPr>
        <w:ind w:left="5103" w:right="566"/>
        <w:jc w:val="center"/>
        <w:rPr>
          <w:rFonts w:ascii="Arial" w:hAnsi="Arial" w:cs="Arial"/>
          <w:sz w:val="22"/>
          <w:szCs w:val="22"/>
        </w:rPr>
      </w:pPr>
      <w:r w:rsidRPr="000A5260">
        <w:rPr>
          <w:rFonts w:ascii="Arial" w:hAnsi="Arial" w:cs="Arial"/>
          <w:sz w:val="22"/>
          <w:szCs w:val="22"/>
        </w:rPr>
        <w:t>Franc  Bogovič</w:t>
      </w:r>
    </w:p>
    <w:p w:rsidR="002642D7" w:rsidRPr="000A5260" w:rsidRDefault="002642D7" w:rsidP="002642D7">
      <w:pPr>
        <w:ind w:left="5103" w:right="566"/>
        <w:jc w:val="center"/>
        <w:rPr>
          <w:rFonts w:ascii="Arial" w:hAnsi="Arial" w:cs="Arial"/>
          <w:sz w:val="22"/>
          <w:szCs w:val="22"/>
        </w:rPr>
      </w:pPr>
      <w:r w:rsidRPr="000A5260">
        <w:rPr>
          <w:rFonts w:ascii="Arial" w:hAnsi="Arial" w:cs="Arial"/>
          <w:sz w:val="22"/>
          <w:szCs w:val="22"/>
        </w:rPr>
        <w:t>župan</w:t>
      </w:r>
    </w:p>
    <w:p w:rsidR="00B72CEB" w:rsidRDefault="00B72CEB"/>
    <w:sectPr w:rsidR="00B72CEB" w:rsidSect="00B72CE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809" w:rsidRPr="003465B5" w:rsidRDefault="00067809" w:rsidP="002642D7">
      <w:pPr/>
      <w:r>
        <w:separator/>
      </w:r>
    </w:p>
  </w:endnote>
  <w:endnote w:type="continuationSeparator" w:id="1">
    <w:p w:rsidR="00067809" w:rsidRPr="003465B5" w:rsidRDefault="00067809" w:rsidP="002642D7">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48982"/>
      <w:docPartObj>
        <w:docPartGallery w:val="Page Numbers (Bottom of Page)"/>
        <w:docPartUnique/>
      </w:docPartObj>
    </w:sdtPr>
    <w:sdtContent>
      <w:p w:rsidR="002642D7" w:rsidRDefault="002642D7">
        <w:pPr>
          <w:pStyle w:val="Noga"/>
          <w:jc w:val="right"/>
        </w:pPr>
        <w:fldSimple w:instr=" PAGE   \* MERGEFORMAT ">
          <w:r w:rsidR="00067809">
            <w:rPr>
              <w:noProof/>
            </w:rPr>
            <w:t>1</w:t>
          </w:r>
        </w:fldSimple>
      </w:p>
    </w:sdtContent>
  </w:sdt>
  <w:p w:rsidR="002642D7" w:rsidRDefault="002642D7">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809" w:rsidRPr="003465B5" w:rsidRDefault="00067809" w:rsidP="002642D7">
      <w:pPr/>
      <w:r>
        <w:separator/>
      </w:r>
    </w:p>
  </w:footnote>
  <w:footnote w:type="continuationSeparator" w:id="1">
    <w:p w:rsidR="00067809" w:rsidRPr="003465B5" w:rsidRDefault="00067809" w:rsidP="002642D7">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70027"/>
    <w:multiLevelType w:val="hybridMultilevel"/>
    <w:tmpl w:val="FB0A37E6"/>
    <w:lvl w:ilvl="0" w:tplc="796CA9CE">
      <w:start w:val="1"/>
      <w:numFmt w:val="bullet"/>
      <w:lvlText w:val="-"/>
      <w:lvlJc w:val="left"/>
      <w:pPr>
        <w:ind w:left="958" w:hanging="360"/>
      </w:pPr>
      <w:rPr>
        <w:rFonts w:ascii="Times New Roman" w:hAnsi="Times New Roman" w:cs="Times New Roman" w:hint="default"/>
      </w:rPr>
    </w:lvl>
    <w:lvl w:ilvl="1" w:tplc="04240003" w:tentative="1">
      <w:start w:val="1"/>
      <w:numFmt w:val="bullet"/>
      <w:lvlText w:val="o"/>
      <w:lvlJc w:val="left"/>
      <w:pPr>
        <w:ind w:left="1678" w:hanging="360"/>
      </w:pPr>
      <w:rPr>
        <w:rFonts w:ascii="Courier New" w:hAnsi="Courier New" w:cs="Courier New" w:hint="default"/>
      </w:rPr>
    </w:lvl>
    <w:lvl w:ilvl="2" w:tplc="04240005" w:tentative="1">
      <w:start w:val="1"/>
      <w:numFmt w:val="bullet"/>
      <w:lvlText w:val=""/>
      <w:lvlJc w:val="left"/>
      <w:pPr>
        <w:ind w:left="2398" w:hanging="360"/>
      </w:pPr>
      <w:rPr>
        <w:rFonts w:ascii="Wingdings" w:hAnsi="Wingdings" w:hint="default"/>
      </w:rPr>
    </w:lvl>
    <w:lvl w:ilvl="3" w:tplc="04240001" w:tentative="1">
      <w:start w:val="1"/>
      <w:numFmt w:val="bullet"/>
      <w:lvlText w:val=""/>
      <w:lvlJc w:val="left"/>
      <w:pPr>
        <w:ind w:left="3118" w:hanging="360"/>
      </w:pPr>
      <w:rPr>
        <w:rFonts w:ascii="Symbol" w:hAnsi="Symbol" w:hint="default"/>
      </w:rPr>
    </w:lvl>
    <w:lvl w:ilvl="4" w:tplc="04240003" w:tentative="1">
      <w:start w:val="1"/>
      <w:numFmt w:val="bullet"/>
      <w:lvlText w:val="o"/>
      <w:lvlJc w:val="left"/>
      <w:pPr>
        <w:ind w:left="3838" w:hanging="360"/>
      </w:pPr>
      <w:rPr>
        <w:rFonts w:ascii="Courier New" w:hAnsi="Courier New" w:cs="Courier New" w:hint="default"/>
      </w:rPr>
    </w:lvl>
    <w:lvl w:ilvl="5" w:tplc="04240005" w:tentative="1">
      <w:start w:val="1"/>
      <w:numFmt w:val="bullet"/>
      <w:lvlText w:val=""/>
      <w:lvlJc w:val="left"/>
      <w:pPr>
        <w:ind w:left="4558" w:hanging="360"/>
      </w:pPr>
      <w:rPr>
        <w:rFonts w:ascii="Wingdings" w:hAnsi="Wingdings" w:hint="default"/>
      </w:rPr>
    </w:lvl>
    <w:lvl w:ilvl="6" w:tplc="04240001" w:tentative="1">
      <w:start w:val="1"/>
      <w:numFmt w:val="bullet"/>
      <w:lvlText w:val=""/>
      <w:lvlJc w:val="left"/>
      <w:pPr>
        <w:ind w:left="5278" w:hanging="360"/>
      </w:pPr>
      <w:rPr>
        <w:rFonts w:ascii="Symbol" w:hAnsi="Symbol" w:hint="default"/>
      </w:rPr>
    </w:lvl>
    <w:lvl w:ilvl="7" w:tplc="04240003" w:tentative="1">
      <w:start w:val="1"/>
      <w:numFmt w:val="bullet"/>
      <w:lvlText w:val="o"/>
      <w:lvlJc w:val="left"/>
      <w:pPr>
        <w:ind w:left="5998" w:hanging="360"/>
      </w:pPr>
      <w:rPr>
        <w:rFonts w:ascii="Courier New" w:hAnsi="Courier New" w:cs="Courier New" w:hint="default"/>
      </w:rPr>
    </w:lvl>
    <w:lvl w:ilvl="8" w:tplc="04240005" w:tentative="1">
      <w:start w:val="1"/>
      <w:numFmt w:val="bullet"/>
      <w:lvlText w:val=""/>
      <w:lvlJc w:val="left"/>
      <w:pPr>
        <w:ind w:left="6718" w:hanging="360"/>
      </w:pPr>
      <w:rPr>
        <w:rFonts w:ascii="Wingdings" w:hAnsi="Wingdings" w:hint="default"/>
      </w:rPr>
    </w:lvl>
  </w:abstractNum>
  <w:abstractNum w:abstractNumId="1">
    <w:nsid w:val="0A5C10CA"/>
    <w:multiLevelType w:val="hybridMultilevel"/>
    <w:tmpl w:val="97FE82BC"/>
    <w:lvl w:ilvl="0" w:tplc="796CA9CE">
      <w:start w:val="1"/>
      <w:numFmt w:val="bullet"/>
      <w:lvlText w:val="-"/>
      <w:lvlJc w:val="left"/>
      <w:pPr>
        <w:ind w:left="958" w:hanging="360"/>
      </w:pPr>
      <w:rPr>
        <w:rFonts w:ascii="Times New Roman" w:hAnsi="Times New Roman" w:cs="Times New Roman" w:hint="default"/>
      </w:rPr>
    </w:lvl>
    <w:lvl w:ilvl="1" w:tplc="04240003" w:tentative="1">
      <w:start w:val="1"/>
      <w:numFmt w:val="bullet"/>
      <w:lvlText w:val="o"/>
      <w:lvlJc w:val="left"/>
      <w:pPr>
        <w:ind w:left="1678" w:hanging="360"/>
      </w:pPr>
      <w:rPr>
        <w:rFonts w:ascii="Courier New" w:hAnsi="Courier New" w:cs="Courier New" w:hint="default"/>
      </w:rPr>
    </w:lvl>
    <w:lvl w:ilvl="2" w:tplc="04240005" w:tentative="1">
      <w:start w:val="1"/>
      <w:numFmt w:val="bullet"/>
      <w:lvlText w:val=""/>
      <w:lvlJc w:val="left"/>
      <w:pPr>
        <w:ind w:left="2398" w:hanging="360"/>
      </w:pPr>
      <w:rPr>
        <w:rFonts w:ascii="Wingdings" w:hAnsi="Wingdings" w:hint="default"/>
      </w:rPr>
    </w:lvl>
    <w:lvl w:ilvl="3" w:tplc="04240001" w:tentative="1">
      <w:start w:val="1"/>
      <w:numFmt w:val="bullet"/>
      <w:lvlText w:val=""/>
      <w:lvlJc w:val="left"/>
      <w:pPr>
        <w:ind w:left="3118" w:hanging="360"/>
      </w:pPr>
      <w:rPr>
        <w:rFonts w:ascii="Symbol" w:hAnsi="Symbol" w:hint="default"/>
      </w:rPr>
    </w:lvl>
    <w:lvl w:ilvl="4" w:tplc="04240003" w:tentative="1">
      <w:start w:val="1"/>
      <w:numFmt w:val="bullet"/>
      <w:lvlText w:val="o"/>
      <w:lvlJc w:val="left"/>
      <w:pPr>
        <w:ind w:left="3838" w:hanging="360"/>
      </w:pPr>
      <w:rPr>
        <w:rFonts w:ascii="Courier New" w:hAnsi="Courier New" w:cs="Courier New" w:hint="default"/>
      </w:rPr>
    </w:lvl>
    <w:lvl w:ilvl="5" w:tplc="04240005" w:tentative="1">
      <w:start w:val="1"/>
      <w:numFmt w:val="bullet"/>
      <w:lvlText w:val=""/>
      <w:lvlJc w:val="left"/>
      <w:pPr>
        <w:ind w:left="4558" w:hanging="360"/>
      </w:pPr>
      <w:rPr>
        <w:rFonts w:ascii="Wingdings" w:hAnsi="Wingdings" w:hint="default"/>
      </w:rPr>
    </w:lvl>
    <w:lvl w:ilvl="6" w:tplc="04240001" w:tentative="1">
      <w:start w:val="1"/>
      <w:numFmt w:val="bullet"/>
      <w:lvlText w:val=""/>
      <w:lvlJc w:val="left"/>
      <w:pPr>
        <w:ind w:left="5278" w:hanging="360"/>
      </w:pPr>
      <w:rPr>
        <w:rFonts w:ascii="Symbol" w:hAnsi="Symbol" w:hint="default"/>
      </w:rPr>
    </w:lvl>
    <w:lvl w:ilvl="7" w:tplc="04240003" w:tentative="1">
      <w:start w:val="1"/>
      <w:numFmt w:val="bullet"/>
      <w:lvlText w:val="o"/>
      <w:lvlJc w:val="left"/>
      <w:pPr>
        <w:ind w:left="5998" w:hanging="360"/>
      </w:pPr>
      <w:rPr>
        <w:rFonts w:ascii="Courier New" w:hAnsi="Courier New" w:cs="Courier New" w:hint="default"/>
      </w:rPr>
    </w:lvl>
    <w:lvl w:ilvl="8" w:tplc="04240005" w:tentative="1">
      <w:start w:val="1"/>
      <w:numFmt w:val="bullet"/>
      <w:lvlText w:val=""/>
      <w:lvlJc w:val="left"/>
      <w:pPr>
        <w:ind w:left="6718" w:hanging="360"/>
      </w:pPr>
      <w:rPr>
        <w:rFonts w:ascii="Wingdings" w:hAnsi="Wingdings" w:hint="default"/>
      </w:rPr>
    </w:lvl>
  </w:abstractNum>
  <w:abstractNum w:abstractNumId="2">
    <w:nsid w:val="72271C3F"/>
    <w:multiLevelType w:val="hybridMultilevel"/>
    <w:tmpl w:val="C7F20DB4"/>
    <w:lvl w:ilvl="0" w:tplc="796CA9CE">
      <w:start w:val="1"/>
      <w:numFmt w:val="bullet"/>
      <w:lvlText w:val="-"/>
      <w:lvlJc w:val="left"/>
      <w:pPr>
        <w:ind w:left="1080" w:hanging="360"/>
      </w:pPr>
      <w:rPr>
        <w:rFonts w:ascii="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2642D7"/>
    <w:rsid w:val="00067809"/>
    <w:rsid w:val="002642D7"/>
    <w:rsid w:val="00B72CEB"/>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642D7"/>
    <w:pPr>
      <w:spacing w:after="0" w:line="240" w:lineRule="auto"/>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2642D7"/>
    <w:pPr>
      <w:ind w:left="708"/>
    </w:pPr>
  </w:style>
  <w:style w:type="character" w:styleId="Poudarek">
    <w:name w:val="Emphasis"/>
    <w:basedOn w:val="Privzetapisavaodstavka"/>
    <w:uiPriority w:val="20"/>
    <w:qFormat/>
    <w:rsid w:val="002642D7"/>
    <w:rPr>
      <w:b/>
      <w:bCs/>
      <w:i w:val="0"/>
      <w:iCs w:val="0"/>
    </w:rPr>
  </w:style>
  <w:style w:type="character" w:customStyle="1" w:styleId="st1">
    <w:name w:val="st1"/>
    <w:basedOn w:val="Privzetapisavaodstavka"/>
    <w:rsid w:val="002642D7"/>
  </w:style>
  <w:style w:type="character" w:customStyle="1" w:styleId="highlight1">
    <w:name w:val="highlight1"/>
    <w:basedOn w:val="Privzetapisavaodstavka"/>
    <w:rsid w:val="002642D7"/>
    <w:rPr>
      <w:color w:val="FF0000"/>
      <w:shd w:val="clear" w:color="auto" w:fill="FFFFFF"/>
    </w:rPr>
  </w:style>
  <w:style w:type="paragraph" w:styleId="Glava">
    <w:name w:val="header"/>
    <w:basedOn w:val="Navaden"/>
    <w:link w:val="GlavaZnak"/>
    <w:uiPriority w:val="99"/>
    <w:semiHidden/>
    <w:unhideWhenUsed/>
    <w:rsid w:val="002642D7"/>
    <w:pPr>
      <w:tabs>
        <w:tab w:val="center" w:pos="4536"/>
        <w:tab w:val="right" w:pos="9072"/>
      </w:tabs>
    </w:pPr>
  </w:style>
  <w:style w:type="character" w:customStyle="1" w:styleId="GlavaZnak">
    <w:name w:val="Glava Znak"/>
    <w:basedOn w:val="Privzetapisavaodstavka"/>
    <w:link w:val="Glava"/>
    <w:uiPriority w:val="99"/>
    <w:semiHidden/>
    <w:rsid w:val="002642D7"/>
    <w:rPr>
      <w:rFonts w:ascii="Times New Roman" w:eastAsia="Times New Roman" w:hAnsi="Times New Roman" w:cs="Times New Roman"/>
      <w:sz w:val="24"/>
      <w:szCs w:val="20"/>
      <w:lang w:eastAsia="sl-SI"/>
    </w:rPr>
  </w:style>
  <w:style w:type="paragraph" w:styleId="Noga">
    <w:name w:val="footer"/>
    <w:basedOn w:val="Navaden"/>
    <w:link w:val="NogaZnak"/>
    <w:uiPriority w:val="99"/>
    <w:unhideWhenUsed/>
    <w:rsid w:val="002642D7"/>
    <w:pPr>
      <w:tabs>
        <w:tab w:val="center" w:pos="4536"/>
        <w:tab w:val="right" w:pos="9072"/>
      </w:tabs>
    </w:pPr>
  </w:style>
  <w:style w:type="character" w:customStyle="1" w:styleId="NogaZnak">
    <w:name w:val="Noga Znak"/>
    <w:basedOn w:val="Privzetapisavaodstavka"/>
    <w:link w:val="Noga"/>
    <w:uiPriority w:val="99"/>
    <w:rsid w:val="002642D7"/>
    <w:rPr>
      <w:rFonts w:ascii="Times New Roman" w:eastAsia="Times New Roman" w:hAnsi="Times New Roman" w:cs="Times New Roman"/>
      <w:sz w:val="24"/>
      <w:szCs w:val="20"/>
      <w:lang w:eastAsia="sl-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1061</Words>
  <Characters>6051</Characters>
  <Application>Microsoft Office Word</Application>
  <DocSecurity>0</DocSecurity>
  <Lines>50</Lines>
  <Paragraphs>14</Paragraphs>
  <ScaleCrop>false</ScaleCrop>
  <Company>Hewlett-Packard Company</Company>
  <LinksUpToDate>false</LinksUpToDate>
  <CharactersWithSpaces>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bernardkaz</dc:creator>
  <cp:lastModifiedBy>bernardkaz</cp:lastModifiedBy>
  <cp:revision>1</cp:revision>
  <dcterms:created xsi:type="dcterms:W3CDTF">2014-11-17T14:41:00Z</dcterms:created>
  <dcterms:modified xsi:type="dcterms:W3CDTF">2014-11-17T14:43:00Z</dcterms:modified>
</cp:coreProperties>
</file>